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1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4"/>
        <w:gridCol w:w="3647"/>
        <w:gridCol w:w="3592"/>
        <w:gridCol w:w="3486"/>
      </w:tblGrid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>Component 1: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French instruction focuses on authentic communication in French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>and a balance of Listening, Speaking, Reading &amp; Writing.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33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9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90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French is the language of instruction. Language is frequently presented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on demand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based on what students wish to communicate as a social agent. </w:t>
            </w: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line="240" w:lineRule="auto"/>
              <w:ind w:left="9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Listening, Speaking, Reading and Writing opportunities are backwards-planned based on an action-oriented task. The majority of class time is allotted to Listening and Speaking related to a variety of authentic situations and acts of speech.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9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88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French is the language of instruction. Language is presented with more emphasis on speech acts (making a request) and less emphasis on parts of speech (e.g. use of the conditional tense).</w:t>
            </w:r>
          </w:p>
          <w:p>
            <w:pPr>
              <w:pStyle w:val="Body"/>
              <w:spacing w:after="0" w:line="240" w:lineRule="auto"/>
              <w:ind w:left="19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88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88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Listening, Speaking, Reading and Writing tasks are planned based on creating or simulating authentic communication in French based on the learners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age and interest.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231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51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51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French is the language of instruction. Language is frequently presented using themes (e.g., holidays, seasons) mainly focussing on the development of vocabulary. </w:t>
            </w:r>
          </w:p>
          <w:p>
            <w:pPr>
              <w:pStyle w:val="List Paragraph"/>
              <w:spacing w:after="0" w:line="240" w:lineRule="auto"/>
              <w:ind w:left="151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51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51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Listening, Speaking, Reading and Writing are somewhat balanced with an emphasis on assessment of Writing and Reading. Speaking tasks include opportunities for interaction. </w:t>
            </w:r>
          </w:p>
          <w:p>
            <w:pPr>
              <w:pStyle w:val="List Paragraph"/>
              <w:spacing w:after="0" w:line="240" w:lineRule="auto"/>
              <w:ind w:left="151" w:firstLine="0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48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French is the language of instruction. Language is frequently presented in isolated or disconnected ways (e.g. a unit on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le pass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compose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). </w:t>
            </w:r>
          </w:p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48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48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More than 50% of class time is allotted to Reading/Writing activities. Speaking tasks focus on oral production.</w:t>
            </w: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199" w:firstLine="0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99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>Component 2: Learning, teaching and assessment have a proficiency angle.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8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Learning goals, success criteria, and/or feedback are consistently connected to the quality of students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use of French (i.e. what they can do with their language skills) in each of the strands. Skills and strategies relate to the development of linguistic, sociolinguistic and pragmatic competences.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9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99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Learning goals, success criteria and/or feedback emphasize skills and strategies related to the students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ability to produce and understand communication in French.</w:t>
            </w:r>
          </w:p>
          <w:p>
            <w:pPr>
              <w:pStyle w:val="List Paragraph"/>
              <w:spacing w:after="0" w:line="240" w:lineRule="auto"/>
              <w:ind w:left="199" w:firstLine="0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221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Although learning goals emphasize students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abilities to use the language, success criteria continue to emphasize form over function. 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Learning goals, success criteria and/or feedback emphasize form over function (e.g. gender agreement).</w:t>
            </w:r>
          </w:p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Knowledge and understanding of content are emphasized (e.g. a true/false quiz based on content in a reading passage).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>Component 3: Learning is highly interactive.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17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are sometimes structured and often spontaneous. Students use French to interact with the teacher and with other students, applying the language learned in new and familiar contexts.</w:t>
            </w:r>
          </w:p>
          <w:p>
            <w:pPr>
              <w:pStyle w:val="List Paragraph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happen throughout the day focussing on language proficiency and on student engagement.</w:t>
            </w:r>
          </w:p>
          <w:p>
            <w:pPr>
              <w:pStyle w:val="Body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The classroom environment is student centered.  Students move easily throughout the room which promotes oral interaction in a variety of groupings.  </w:t>
            </w:r>
            <w:r>
              <w:rPr>
                <w:rFonts w:ascii="Gill Sans MT" w:cs="Gill Sans MT" w:hAnsi="Gill Sans MT" w:eastAsia="Gill Sans MT"/>
                <w:sz w:val="24"/>
                <w:szCs w:val="24"/>
              </w:rPr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6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82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are mostly organized by the teacher. Students have daily opportunities to interact in French with each other and with the teacher.</w:t>
            </w: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82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happen regularly focussing on a communicative need.</w:t>
            </w:r>
          </w:p>
          <w:p>
            <w:pPr>
              <w:pStyle w:val="List Paragraph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8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8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The classroom environment promotes interaction.  Student desks/tables are set up in groups. Some movement in the classroom between groups is promoted.</w:t>
            </w:r>
            <w:r>
              <w:rPr>
                <w:rFonts w:ascii="Gill Sans MT" w:cs="Gill Sans MT" w:hAnsi="Gill Sans MT" w:eastAsia="Gill Sans MT"/>
                <w:sz w:val="24"/>
                <w:szCs w:val="24"/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21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7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The most frequent interactions are student-teacher in guided and rehearsed practices.</w:t>
            </w: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37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happen at a specific time focussing on specific content or themes.</w:t>
            </w: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7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The classroom environment promotes interaction in a structured way.  Student desks are set up in partners.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9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The majority of communication is done by the teacher.</w:t>
            </w: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27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 interactions are mostly prepared and sometimes memorized before they take place.</w:t>
            </w: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7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The classroom environment is not set-up for students to move around or engage in group work.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42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rtl w:val="0"/>
                <w:lang w:val="en-US"/>
              </w:rPr>
              <w:t>Component 4: Learner autonomy and metacognition are of central importance.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3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Teachers and students use common language to describe progress based on a continuum of proficiency and are able to situate themselves and set specific goals for improvement, which inform upcoming learning opportunities. Students set individual goals for ongoing language learning.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9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79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Students are actively involved in describing progress and reflecting on next steps using an asset model. Student and teacher feedback that describe proficiency are integrated into future learning opportunities.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217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137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Teachers describe their students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progress using an asset model and suggest next steps for improvement. Students develop autonomy through opportunities to implement next steps.</w:t>
            </w:r>
          </w:p>
          <w:p>
            <w:pPr>
              <w:pStyle w:val="Body"/>
              <w:spacing w:after="0" w:line="240" w:lineRule="auto"/>
              <w:ind w:left="13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127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27" w:right="0" w:firstLine="0"/>
              <w:jc w:val="left"/>
              <w:rPr>
                <w:rFonts w:ascii="Gill Sans MT" w:cs="Gill Sans MT" w:hAnsi="Gill Sans MT" w:eastAsia="Gill Sans MT"/>
                <w:sz w:val="24"/>
                <w:szCs w:val="24"/>
                <w:rtl w:val="0"/>
              </w:rPr>
            </w:pPr>
            <w:r>
              <w:rPr>
                <w:rFonts w:ascii="Gill Sans MT" w:cs="Gill Sans MT" w:hAnsi="Gill Sans MT" w:eastAsia="Gill Sans MT"/>
                <w:sz w:val="24"/>
                <w:szCs w:val="24"/>
                <w:rtl w:val="0"/>
                <w:lang w:val="en-US"/>
              </w:rPr>
              <w:t>Students are aware of their progress based on marks and teacher feedback they receive. Metacognitive activities emphasize error correction.</w:t>
            </w: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360" w:firstLine="0"/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Gill Sans MT" w:cs="Gill Sans MT" w:hAnsi="Gill Sans MT" w:eastAsia="Gill Sans MT"/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ind w:left="2" w:hanging="2"/>
      </w:pPr>
    </w:p>
    <w:p>
      <w:pPr>
        <w:pStyle w:val="Body"/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line">
                  <wp:posOffset>86512</wp:posOffset>
                </wp:positionV>
                <wp:extent cx="2125684" cy="772491"/>
                <wp:effectExtent l="0" t="0" r="0" b="0"/>
                <wp:wrapNone/>
                <wp:docPr id="1073741827" name="officeArt object" descr="Left Arrow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684" cy="772491"/>
                          <a:chOff x="0" y="0"/>
                          <a:chExt cx="2125683" cy="7724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25684" cy="772491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EEECE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193123" y="193122"/>
                            <a:ext cx="1932560" cy="3862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:lang w:val="en-US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 xml:space="preserve"> Full implementation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2pt;margin-top:6.8pt;width:167.4pt;height:6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25683,772491">
                <w10:wrap type="none" side="bothSides" anchorx="text"/>
                <v:shape id="_x0000_s1027" type="#_x0000_t66" style="position:absolute;left:0;top:0;width:2125683;height:772491;" adj="3925,5400">
                  <v:fill color="#EEEC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202" style="position:absolute;left:193123;top:193123;width:1932560;height:3862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:lang w:val="en-US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 xml:space="preserve"> Full implementation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line">
                  <wp:posOffset>90170</wp:posOffset>
                </wp:positionV>
                <wp:extent cx="2162175" cy="765810"/>
                <wp:effectExtent l="0" t="0" r="0" b="0"/>
                <wp:wrapNone/>
                <wp:docPr id="1073741830" name="officeArt object" descr="Right Arrow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765810"/>
                          <a:chOff x="0" y="0"/>
                          <a:chExt cx="2162175" cy="76580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162175" cy="76581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93C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-1" y="191453"/>
                            <a:ext cx="1970725" cy="3829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Gill Sans MT" w:cs="Gill Sans MT" w:hAnsi="Gill Sans MT" w:eastAsia="Gill Sans MT"/>
                                  <w:b w:val="1"/>
                                  <w:bCs w:val="1"/>
                                  <w:outline w:val="0"/>
                                  <w:color w:val="0d0d0d"/>
                                  <w:u w:color="0d0d0d"/>
                                  <w:rtl w:val="0"/>
                                  <w:lang w:val="fr-FR"/>
                                  <w14:textFill>
                                    <w14:solidFill>
                                      <w14:srgbClr w14:val="0D0D0D"/>
                                    </w14:solidFill>
                                  </w14:textFill>
                                </w:rPr>
                                <w:t>Non-implementation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38.1pt;margin-top:7.1pt;width:170.2pt;height:60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2175,765810">
                <w10:wrap type="none" side="bothSides" anchorx="text"/>
                <v:shape id="_x0000_s1030" type="#_x0000_t13" style="position:absolute;left:0;top:0;width:2162175;height:765810;" adj="17775,5400">
                  <v:fill color="#93C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202" style="position:absolute;left:0;top:191453;width:1970723;height:382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Gill Sans MT" w:cs="Gill Sans MT" w:hAnsi="Gill Sans MT" w:eastAsia="Gill Sans MT"/>
                            <w:b w:val="1"/>
                            <w:bCs w:val="1"/>
                            <w:outline w:val="0"/>
                            <w:color w:val="0d0d0d"/>
                            <w:u w:color="0d0d0d"/>
                            <w:rtl w:val="0"/>
                            <w:lang w:val="fr-FR"/>
                            <w14:textFill>
                              <w14:solidFill>
                                <w14:srgbClr w14:val="0D0D0D"/>
                              </w14:solidFill>
                            </w14:textFill>
                          </w:rPr>
                          <w:t>Non-implementation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4524499</wp:posOffset>
                </wp:positionH>
                <wp:positionV relativeFrom="line">
                  <wp:posOffset>280175</wp:posOffset>
                </wp:positionV>
                <wp:extent cx="2314575" cy="381000"/>
                <wp:effectExtent l="0" t="0" r="0" b="0"/>
                <wp:wrapNone/>
                <wp:docPr id="1073741831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6.3pt;margin-top:22.1pt;width:182.2pt;height:3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7DE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line">
                  <wp:posOffset>280670</wp:posOffset>
                </wp:positionV>
                <wp:extent cx="2314575" cy="381000"/>
                <wp:effectExtent l="0" t="0" r="0" b="0"/>
                <wp:wrapNone/>
                <wp:docPr id="1073741832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4.0pt;margin-top:22.1pt;width:182.2pt;height:3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BEEF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5840" w:h="2448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>CEFR Provincial Virtual Event -  June 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The CEFR in Ontario: A Continuum of Implementation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