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2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94"/>
        <w:gridCol w:w="3647"/>
        <w:gridCol w:w="3592"/>
        <w:gridCol w:w="3486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42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center"/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Composante 1: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enseignement se fait en fran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ç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ais et les instructions se concentrent sur des situations authentiques de communication gr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â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ce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un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quilibre des 4 domaines du curriculum: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couter, parler, lire et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crire.</w:t>
            </w:r>
          </w:p>
        </w:tc>
      </w:tr>
      <w:tr>
        <w:tblPrEx>
          <w:shd w:val="clear" w:color="auto" w:fill="ced7e7"/>
        </w:tblPrEx>
        <w:trPr>
          <w:trHeight w:val="5210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Gill Sans MT" w:cs="Gill Sans MT" w:hAnsi="Gill Sans MT" w:eastAsia="Gill Sans MT"/>
                <w:sz w:val="22"/>
                <w:szCs w:val="22"/>
              </w:rPr>
            </w:pP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Le fran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ç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ais est la langue d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instruction. Le langage/vocabulaire est pr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sent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é  ‘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sur demande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 xml:space="preserve">’ 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 xml:space="preserve">selon les besoins des 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ves qui doivent communiquer en tant qu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 xml:space="preserve">acteur sociaux. </w:t>
            </w:r>
          </w:p>
          <w:p>
            <w:pPr>
              <w:pStyle w:val="List Paragraph"/>
              <w:spacing w:after="0" w:line="240" w:lineRule="auto"/>
              <w:ind w:left="90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La planification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rebours est utilis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 pour planifier des activit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et des 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â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ches inspir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es de la perspective actionnelle qui permettent aux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de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velopper leurs comp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tences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à 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couter, parler, lire et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crire. La majorit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du temps en salle de classe est consacr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au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veloppement de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coute et de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interaction orale reli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à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une vari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de situations authentiques et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actes de paroles.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Gill Sans MT" w:cs="Gill Sans MT" w:hAnsi="Gill Sans MT" w:eastAsia="Gill Sans MT"/>
                <w:sz w:val="22"/>
                <w:szCs w:val="22"/>
              </w:rPr>
            </w:pP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Le fran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ç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ais est la langue d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instruction. Le Langage/vocabulaire est pr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sent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surtout pour exprimer des fonctions ou des actes de paroles (ex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.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: faire une demande d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information) Moins d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importance est attach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 xml:space="preserve">e 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la forme du discours (ex.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fr-FR"/>
              </w:rPr>
              <w:t>: utilisation du mode conditionnel)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Gill Sans MT" w:cs="Gill Sans MT" w:hAnsi="Gill Sans MT" w:eastAsia="Gill Sans MT"/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 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Les activit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et les 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â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ches planifi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es permettent aux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de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velopper leurs comp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tences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à 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couter, parler, lire et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crire.  Celles-ci sont planifi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es afin de cr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er ou simuler des communications authentiques selon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’â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ge et les int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ê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ts des apprenants.</w:t>
            </w:r>
          </w:p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6dde8"/>
            <w:tcMar>
              <w:top w:type="dxa" w:w="80"/>
              <w:left w:type="dxa" w:w="231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51" w:firstLine="0"/>
              <w:rPr>
                <w:rFonts w:ascii="Gill Sans MT" w:cs="Gill Sans MT" w:hAnsi="Gill Sans MT" w:eastAsia="Gill Sans MT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Le fran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ç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ais est la langue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instruction. La langue est fr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quemment utilis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 dans le cadre de th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mes exploit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s. (ex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 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.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 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: les vacances.., les saisons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…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)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objectif premier est de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velopper du vocabulaire.</w:t>
            </w:r>
          </w:p>
          <w:p>
            <w:pPr>
              <w:pStyle w:val="Body"/>
              <w:spacing w:after="0" w:line="240" w:lineRule="auto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bidi w:val="0"/>
              <w:spacing w:after="0" w:line="240" w:lineRule="auto"/>
              <w:ind w:left="151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Les activit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et les 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â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ches qui permettent aux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de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velopper leurs comp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tences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à 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couter, parler, lire et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crire sont planifi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es de fa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ç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on al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atoire et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valuation portera surtout sur les comp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tences en lecture et en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criture. Les 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â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ches planifi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orale contiennent parfois des opportunit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s/situations favorisant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interaction.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228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48" w:firstLine="0"/>
              <w:rPr>
                <w:rFonts w:ascii="Gill Sans MT" w:cs="Gill Sans MT" w:hAnsi="Gill Sans MT" w:eastAsia="Gill Sans MT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Le fran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ç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ais est la langue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instruction. La langue est principalement pr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sent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 de fa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ç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on isol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 et sans contexte. (ex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 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.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 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: unit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sur le pass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compos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)</w:t>
            </w:r>
          </w:p>
          <w:p>
            <w:pPr>
              <w:pStyle w:val="Body"/>
              <w:spacing w:after="0" w:line="240" w:lineRule="auto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48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48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Plus de 50% du temps est allou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aux activit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criture et de compr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hension en lecture. Les 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â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ches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orale se pr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sentent souvent sous le format de pr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sentations orales.</w:t>
            </w:r>
          </w:p>
          <w:p>
            <w:pPr>
              <w:pStyle w:val="List Paragraph"/>
              <w:spacing w:after="0" w:line="240" w:lineRule="auto"/>
              <w:ind w:left="148" w:firstLine="0"/>
            </w:pPr>
            <w:r>
              <w:rPr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42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0d9"/>
            <w:tcMar>
              <w:top w:type="dxa" w:w="80"/>
              <w:left w:type="dxa" w:w="279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199" w:firstLine="0"/>
              <w:jc w:val="center"/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lang w:val="fr-FR"/>
              </w:rPr>
            </w:pPr>
          </w:p>
          <w:p>
            <w:pPr>
              <w:pStyle w:val="Body"/>
              <w:bidi w:val="0"/>
              <w:spacing w:after="0" w:line="240" w:lineRule="auto"/>
              <w:ind w:left="199" w:right="0" w:firstLine="0"/>
              <w:jc w:val="center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Composante 2: L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apprentissage, l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enseignement et l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valuation des apprenants s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effectuent sous l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angle du d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veloppement de comp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tences langagi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res.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3910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72" w:firstLine="0"/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Les buts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apprentissage, les crit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res de 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ussite, et la 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troaction sont constamment ancr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sur la qualit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observ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 de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utilisation du fran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ç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ais par les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(ex.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 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: comment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 utilise ses comp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tences langagi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res) dans les quatre domaines du curriculum. Les habilet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et les strat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gies apprises, enseign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es et/ou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valu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es sont li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es au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veloppement de comp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tences linguistiques, sociolinguistiques et pragmatiques.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27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99" w:firstLine="0"/>
              <w:rPr>
                <w:rFonts w:ascii="Gill Sans MT" w:cs="Gill Sans MT" w:hAnsi="Gill Sans MT" w:eastAsia="Gill Sans MT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Les buts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apprentissage, les crit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res de 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ussite et/ou la 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troaction mettent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accent sur les habilet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et les strat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gies qui sont reli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la capacit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des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ves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produire et bien comprendre des situations de communication en fran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ç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ais.</w:t>
            </w:r>
          </w:p>
          <w:p>
            <w:pPr>
              <w:pStyle w:val="List Paragraph"/>
              <w:spacing w:after="0" w:line="240" w:lineRule="auto"/>
              <w:ind w:left="199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99" w:firstLine="0"/>
            </w:pPr>
            <w:r>
              <w:rPr>
                <w:rFonts w:ascii="Gill Sans MT" w:cs="Gill Sans MT" w:hAnsi="Gill Sans MT" w:eastAsia="Gill Sans MT"/>
                <w:lang w:val="fr-FR"/>
              </w:rPr>
            </w:r>
          </w:p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6dde8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221" w:firstLine="0"/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Malgr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le fait que les buts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apprentissage soient centr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sur la capacit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qu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ont les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ves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utiliser la langue cible, les crit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res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valuation eux, 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lent davantage des caract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ristiques reli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la forme plut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ô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 qu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aux fonctions langagi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res.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Les buts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apprentissage, les crit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res de 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ussite et/ou la 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troaction insistent sur la forme plut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ô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 que les fonctions langagi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res. (ex.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 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: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accord du gendre)</w:t>
            </w:r>
          </w:p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39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Les connaissances et la compr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hension du contenu sont au c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œ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ur de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apprentissage. (ex.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 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: quiz ax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sur le contenu, vrai ou faux.)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42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lang w:val="fr-FR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Composante 3: L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apprentissage est visiblement interactif.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510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72" w:firstLine="0"/>
              <w:rPr>
                <w:rFonts w:ascii="Gill Sans MT" w:cs="Gill Sans MT" w:hAnsi="Gill Sans MT" w:eastAsia="Gill Sans MT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Les interactions entre les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sont parfois structur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es mais le plus souvent spontan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es. Les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interagissent en fran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ç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ais avec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enseignant et les autres apprenants en 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utilisant le langage appris dans un contexte familier et/ou nouveau. </w:t>
            </w:r>
          </w:p>
          <w:p>
            <w:pPr>
              <w:pStyle w:val="List Paragraph"/>
              <w:spacing w:after="0" w:line="240" w:lineRule="auto"/>
              <w:ind w:left="72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72" w:right="0" w:firstLine="0"/>
              <w:jc w:val="left"/>
              <w:rPr>
                <w:rFonts w:ascii="Gill Sans MT" w:cs="Gill Sans MT" w:hAnsi="Gill Sans MT" w:eastAsia="Gill Sans MT"/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Les interactions entre les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se produisent tout au long de la journ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 en s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appuyant sur le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veloppement de comp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tences langagi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res ainsi que de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engagement et la motivation de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ve.</w:t>
            </w:r>
          </w:p>
          <w:p>
            <w:pPr>
              <w:pStyle w:val="Body"/>
              <w:spacing w:after="0" w:line="240" w:lineRule="auto"/>
              <w:ind w:left="72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72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organisation de la salle de classe est centr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 sur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apprentissage des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ves. Ceux-ci se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placent librement ce qui favorise des interactions de formes diverses et des regroupements vari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selon les besoins et le contexte.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26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82" w:firstLine="0"/>
              <w:rPr>
                <w:rFonts w:ascii="Gill Sans MT" w:cs="Gill Sans MT" w:hAnsi="Gill Sans MT" w:eastAsia="Gill Sans MT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Les interactions entre les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sont principalement organis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es et planifi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es par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enseignant. Les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ont des occasions quotidiennes pour interagir en fran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ç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ais avec les autres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et avec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enseignant.</w:t>
            </w:r>
          </w:p>
          <w:p>
            <w:pPr>
              <w:pStyle w:val="List Paragraph"/>
              <w:spacing w:after="0" w:line="240" w:lineRule="auto"/>
              <w:ind w:left="182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82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82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Les interactions entre les 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ves se produisent r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guli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rement en s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appuyant sur le besoin de communiquer.</w:t>
            </w:r>
          </w:p>
          <w:p>
            <w:pPr>
              <w:pStyle w:val="List Paragraph"/>
              <w:spacing w:after="0" w:line="240" w:lineRule="auto"/>
              <w:ind w:left="182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spacing w:after="0" w:line="240" w:lineRule="auto"/>
              <w:ind w:left="182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spacing w:after="0" w:line="240" w:lineRule="auto"/>
              <w:ind w:left="182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spacing w:after="0" w:line="240" w:lineRule="auto"/>
              <w:ind w:left="182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bidi w:val="0"/>
              <w:spacing w:after="0" w:line="240" w:lineRule="auto"/>
              <w:ind w:left="182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organisation de la salle de classe favorise les interactions. Les pupitres/tables sont organis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s en groupes. Les d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placements entre les diff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rents groupes sont valoris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s.</w:t>
            </w:r>
            <w:r>
              <w:rPr>
                <w:rFonts w:ascii="Gill Sans MT" w:cs="Gill Sans MT" w:hAnsi="Gill Sans MT" w:eastAsia="Gill Sans MT"/>
                <w:outline w:val="0"/>
                <w:color w:val="ff0000"/>
                <w:u w:color="ff0000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6dde8"/>
            <w:tcMar>
              <w:top w:type="dxa" w:w="80"/>
              <w:left w:type="dxa" w:w="217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Les interactions les plus fr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quentes sont celles entre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ves/enseignants dans des situations de pratiques guid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es.</w:t>
            </w:r>
          </w:p>
          <w:p>
            <w:pPr>
              <w:pStyle w:val="List Paragraph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37" w:right="0" w:firstLine="0"/>
              <w:jc w:val="left"/>
              <w:rPr>
                <w:rFonts w:ascii="Gill Sans MT" w:cs="Gill Sans MT" w:hAnsi="Gill Sans MT" w:eastAsia="Gill Sans MT"/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Les interactions entre les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se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roulent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des moments pr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cis selon un contenu sp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cifique/th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me.</w:t>
            </w:r>
          </w:p>
          <w:p>
            <w:pPr>
              <w:pStyle w:val="List Paragraph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bidi w:val="0"/>
              <w:spacing w:after="0" w:line="240" w:lineRule="auto"/>
              <w:ind w:left="137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organisation de la salle de classe favorise les interactions de mani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res structur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es. Les pupitres/tables sont organis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s en paires. </w:t>
            </w:r>
            <w:r>
              <w:rPr>
                <w:rFonts w:ascii="Gill Sans MT" w:cs="Gill Sans MT" w:hAnsi="Gill Sans MT" w:eastAsia="Gill Sans MT"/>
              </w:rPr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La majorit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de la communication est faite par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enseignant. </w:t>
            </w:r>
          </w:p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39" w:right="0" w:firstLine="0"/>
              <w:jc w:val="left"/>
              <w:rPr>
                <w:rFonts w:ascii="Gill Sans MT" w:cs="Gill Sans MT" w:hAnsi="Gill Sans MT" w:eastAsia="Gill Sans MT"/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Les interactions entre les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sont principalement pr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par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es et parfois m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moris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es avant de prendre place.</w:t>
            </w:r>
          </w:p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39" w:right="0" w:firstLine="0"/>
              <w:jc w:val="left"/>
              <w:rPr>
                <w:rFonts w:ascii="Gill Sans MT" w:cs="Gill Sans MT" w:hAnsi="Gill Sans MT" w:eastAsia="Gill Sans MT"/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organisation de la salle de classe ne permet pas aux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de se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placer librement et/ou de les engager dans des activit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de groupe.</w:t>
            </w:r>
          </w:p>
          <w:p>
            <w:pPr>
              <w:pStyle w:val="List Paragraph"/>
              <w:spacing w:after="0" w:line="240" w:lineRule="auto"/>
              <w:ind w:left="360" w:firstLine="0"/>
            </w:pPr>
            <w:r>
              <w:rPr>
                <w:rFonts w:ascii="Gill Sans MT" w:cs="Gill Sans MT" w:hAnsi="Gill Sans MT" w:eastAsia="Gill Sans MT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42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lang w:val="fr-FR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Composante 4: La m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tacognition et l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autonomie de l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apprenant jouent un r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ô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fr-FR"/>
              </w:rPr>
              <w:t>le central.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3910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72" w:firstLine="0"/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Enseignants et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utilisent un langage commun afin de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crire le progr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bas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é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sur un continuum  de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veloppement de comp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tences. Les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peuvent se situer et se fixer des objectifs sp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cifiques en tout temps visant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am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lioration, ceci leur permettant donc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’ê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tre bien inform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sur les possibles occasions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apprentissage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venir. Les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ves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tablissent des objectifs individuels dans leur apprentissage continu de la langue seconde. 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79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En identifiant ce qu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ils sont capables de faire, les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sont engag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dans la description de leur progr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et dans la 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flexion menant aux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tapes n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cessaires visant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am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lioration de leurs comp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tences langagi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res. La 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troaction de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enseignant et celle des paires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crivant le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veloppement des comp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tences font partie des occasions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apprentissage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venir. </w:t>
            </w:r>
          </w:p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37" w:right="0" w:firstLine="0"/>
              <w:jc w:val="left"/>
              <w:rPr>
                <w:rFonts w:ascii="Gill Sans MT" w:cs="Gill Sans MT" w:hAnsi="Gill Sans MT" w:eastAsia="Gill Sans MT"/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Les enseignants offrent de la 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troaction bas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e sur les acquis des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et sugg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rent des pistes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am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lioration.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autonomie des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se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veloppe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travers les occasions qui leur sont offertes de mettre en pratique les pistes d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am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lioration sugg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es.</w:t>
            </w:r>
          </w:p>
          <w:p>
            <w:pPr>
              <w:pStyle w:val="Body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spacing w:after="0" w:line="240" w:lineRule="auto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360" w:firstLine="0"/>
            </w:pPr>
            <w:r>
              <w:rPr>
                <w:rFonts w:ascii="Gill Sans MT" w:cs="Gill Sans MT" w:hAnsi="Gill Sans MT" w:eastAsia="Gill Sans MT"/>
                <w:lang w:val="fr-FR"/>
              </w:rPr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127" w:firstLine="0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bidi w:val="0"/>
              <w:spacing w:after="0" w:line="240" w:lineRule="auto"/>
              <w:ind w:left="127" w:right="0" w:firstLine="0"/>
              <w:jc w:val="left"/>
              <w:rPr>
                <w:rFonts w:ascii="Gill Sans MT" w:cs="Gill Sans MT" w:hAnsi="Gill Sans MT" w:eastAsia="Gill Sans MT"/>
                <w:rtl w:val="0"/>
              </w:rPr>
            </w:pP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Les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ves sont conscients de leurs progr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è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gr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â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ce aux notes et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à 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la r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troaction qu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ils ont re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ç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ues de leur enseignant. Les activit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s de m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é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tacognition mettent l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>’</w:t>
            </w:r>
            <w:r>
              <w:rPr>
                <w:rFonts w:ascii="Gill Sans MT" w:cs="Gill Sans MT" w:hAnsi="Gill Sans MT" w:eastAsia="Gill Sans MT"/>
                <w:rtl w:val="0"/>
                <w:lang w:val="fr-FR"/>
              </w:rPr>
              <w:t xml:space="preserve">accent sur la correction des erreurs. </w:t>
            </w:r>
          </w:p>
          <w:p>
            <w:pPr>
              <w:pStyle w:val="Body"/>
              <w:spacing w:after="0" w:line="240" w:lineRule="auto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spacing w:after="0" w:line="240" w:lineRule="auto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spacing w:after="0" w:line="240" w:lineRule="auto"/>
              <w:rPr>
                <w:rFonts w:ascii="Gill Sans MT" w:cs="Gill Sans MT" w:hAnsi="Gill Sans MT" w:eastAsia="Gill Sans MT"/>
                <w:lang w:val="fr-FR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Gill Sans MT" w:cs="Gill Sans MT" w:hAnsi="Gill Sans MT" w:eastAsia="Gill Sans MT"/>
                <w:lang w:val="fr-FR"/>
              </w:rPr>
            </w:r>
          </w:p>
        </w:tc>
      </w:tr>
    </w:tbl>
    <w:p>
      <w:pPr>
        <w:pStyle w:val="Body"/>
        <w:widowControl w:val="0"/>
        <w:spacing w:line="240" w:lineRule="auto"/>
        <w:ind w:left="108" w:hanging="108"/>
      </w:pPr>
    </w:p>
    <w:p>
      <w:pPr>
        <w:pStyle w:val="Body"/>
      </w:pPr>
      <w: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line">
                  <wp:posOffset>86512</wp:posOffset>
                </wp:positionV>
                <wp:extent cx="2125684" cy="772491"/>
                <wp:effectExtent l="0" t="0" r="0" b="0"/>
                <wp:wrapNone/>
                <wp:docPr id="1073741827" name="officeArt object" descr="Left Arrow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684" cy="772491"/>
                          <a:chOff x="0" y="0"/>
                          <a:chExt cx="2125683" cy="77249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125684" cy="772491"/>
                          </a:xfrm>
                          <a:prstGeom prst="lef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EEECE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193123" y="193122"/>
                            <a:ext cx="1932560" cy="3862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Gill Sans MT" w:cs="Gill Sans MT" w:hAnsi="Gill Sans MT" w:eastAsia="Gill Sans MT"/>
                                  <w:b w:val="1"/>
                                  <w:bCs w:val="1"/>
                                  <w:outline w:val="0"/>
                                  <w:color w:val="0d0d0d"/>
                                  <w:u w:color="0d0d0d"/>
                                  <w14:textFill>
                                    <w14:solidFill>
                                      <w14:srgbClr w14:val="0D0D0D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ill Sans MT" w:cs="Gill Sans MT" w:hAnsi="Gill Sans MT" w:eastAsia="Gill Sans MT"/>
                                  <w:b w:val="1"/>
                                  <w:bCs w:val="1"/>
                                  <w:outline w:val="0"/>
                                  <w:color w:val="0d0d0d"/>
                                  <w:u w:color="0d0d0d"/>
                                  <w:rtl w:val="0"/>
                                  <w:lang w:val="fr-FR"/>
                                  <w14:textFill>
                                    <w14:solidFill>
                                      <w14:srgbClr w14:val="0D0D0D"/>
                                    </w14:solidFill>
                                  </w14:textFill>
                                </w:rPr>
                                <w:t>Implantation compl</w:t>
                              </w:r>
                              <w:r>
                                <w:rPr>
                                  <w:rFonts w:ascii="Gill Sans MT" w:cs="Gill Sans MT" w:hAnsi="Gill Sans MT" w:eastAsia="Gill Sans MT"/>
                                  <w:b w:val="1"/>
                                  <w:bCs w:val="1"/>
                                  <w:outline w:val="0"/>
                                  <w:color w:val="0d0d0d"/>
                                  <w:u w:color="0d0d0d"/>
                                  <w:rtl w:val="0"/>
                                  <w:lang w:val="en-US"/>
                                  <w14:textFill>
                                    <w14:solidFill>
                                      <w14:srgbClr w14:val="0D0D0D"/>
                                    </w14:solidFill>
                                  </w14:textFill>
                                </w:rPr>
                                <w:t>è</w:t>
                              </w:r>
                              <w:r>
                                <w:rPr>
                                  <w:rFonts w:ascii="Gill Sans MT" w:cs="Gill Sans MT" w:hAnsi="Gill Sans MT" w:eastAsia="Gill Sans MT"/>
                                  <w:b w:val="1"/>
                                  <w:bCs w:val="1"/>
                                  <w:outline w:val="0"/>
                                  <w:color w:val="0d0d0d"/>
                                  <w:u w:color="0d0d0d"/>
                                  <w:rtl w:val="0"/>
                                  <w14:textFill>
                                    <w14:solidFill>
                                      <w14:srgbClr w14:val="0D0D0D"/>
                                    </w14:solidFill>
                                  </w14:textFill>
                                </w:rPr>
                                <w:t>te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Gill Sans MT" w:cs="Gill Sans MT" w:hAnsi="Gill Sans MT" w:eastAsia="Gill Sans MT"/>
                                  <w:b w:val="1"/>
                                  <w:bCs w:val="1"/>
                                  <w:outline w:val="0"/>
                                  <w:color w:val="0d0d0d"/>
                                  <w:u w:color="0d0d0d"/>
                                  <w14:textFill>
                                    <w14:solidFill>
                                      <w14:srgbClr w14:val="0D0D0D"/>
                                    </w14:solidFill>
                                  </w14:textFill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.2pt;margin-top:6.8pt;width:167.4pt;height:60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25683,772491">
                <w10:wrap type="none" side="bothSides" anchorx="text"/>
                <v:shape id="_x0000_s1027" type="#_x0000_t66" style="position:absolute;left:0;top:0;width:2125683;height:772491;" adj="3925,5400">
                  <v:fill color="#EEECE1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type="#_x0000_t202" style="position:absolute;left:193123;top:193123;width:1932560;height:3862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Gill Sans MT" w:cs="Gill Sans MT" w:hAnsi="Gill Sans MT" w:eastAsia="Gill Sans MT"/>
                            <w:b w:val="1"/>
                            <w:bCs w:val="1"/>
                            <w:outline w:val="0"/>
                            <w:color w:val="0d0d0d"/>
                            <w:u w:color="0d0d0d"/>
                            <w14:textFill>
                              <w14:solidFill>
                                <w14:srgbClr w14:val="0D0D0D"/>
                              </w14:solidFill>
                            </w14:textFill>
                          </w:rPr>
                        </w:pPr>
                        <w:r>
                          <w:rPr>
                            <w:rFonts w:ascii="Gill Sans MT" w:cs="Gill Sans MT" w:hAnsi="Gill Sans MT" w:eastAsia="Gill Sans MT"/>
                            <w:b w:val="1"/>
                            <w:bCs w:val="1"/>
                            <w:outline w:val="0"/>
                            <w:color w:val="0d0d0d"/>
                            <w:u w:color="0d0d0d"/>
                            <w:rtl w:val="0"/>
                            <w:lang w:val="fr-FR"/>
                            <w14:textFill>
                              <w14:solidFill>
                                <w14:srgbClr w14:val="0D0D0D"/>
                              </w14:solidFill>
                            </w14:textFill>
                          </w:rPr>
                          <w:t>Implantation compl</w:t>
                        </w:r>
                        <w:r>
                          <w:rPr>
                            <w:rFonts w:ascii="Gill Sans MT" w:cs="Gill Sans MT" w:hAnsi="Gill Sans MT" w:eastAsia="Gill Sans MT"/>
                            <w:b w:val="1"/>
                            <w:bCs w:val="1"/>
                            <w:outline w:val="0"/>
                            <w:color w:val="0d0d0d"/>
                            <w:u w:color="0d0d0d"/>
                            <w:rtl w:val="0"/>
                            <w:lang w:val="en-US"/>
                            <w14:textFill>
                              <w14:solidFill>
                                <w14:srgbClr w14:val="0D0D0D"/>
                              </w14:solidFill>
                            </w14:textFill>
                          </w:rPr>
                          <w:t>è</w:t>
                        </w:r>
                        <w:r>
                          <w:rPr>
                            <w:rFonts w:ascii="Gill Sans MT" w:cs="Gill Sans MT" w:hAnsi="Gill Sans MT" w:eastAsia="Gill Sans MT"/>
                            <w:b w:val="1"/>
                            <w:bCs w:val="1"/>
                            <w:outline w:val="0"/>
                            <w:color w:val="0d0d0d"/>
                            <w:u w:color="0d0d0d"/>
                            <w:rtl w:val="0"/>
                            <w14:textFill>
                              <w14:solidFill>
                                <w14:srgbClr w14:val="0D0D0D"/>
                              </w14:solidFill>
                            </w14:textFill>
                          </w:rPr>
                          <w:t>te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Gill Sans MT" w:cs="Gill Sans MT" w:hAnsi="Gill Sans MT" w:eastAsia="Gill Sans MT"/>
                            <w:b w:val="1"/>
                            <w:bCs w:val="1"/>
                            <w:outline w:val="0"/>
                            <w:color w:val="0d0d0d"/>
                            <w:u w:color="0d0d0d"/>
                            <w14:textFill>
                              <w14:solidFill>
                                <w14:srgbClr w14:val="0D0D0D"/>
                              </w14:solidFill>
                            </w14:textFill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6833870</wp:posOffset>
                </wp:positionH>
                <wp:positionV relativeFrom="line">
                  <wp:posOffset>90170</wp:posOffset>
                </wp:positionV>
                <wp:extent cx="2162175" cy="765810"/>
                <wp:effectExtent l="0" t="0" r="0" b="0"/>
                <wp:wrapNone/>
                <wp:docPr id="1073741830" name="officeArt object" descr="Right Arrow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765810"/>
                          <a:chOff x="0" y="0"/>
                          <a:chExt cx="2162175" cy="76580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162175" cy="76581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93C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-1" y="191453"/>
                            <a:ext cx="1970725" cy="3829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Gill Sans MT" w:cs="Gill Sans MT" w:hAnsi="Gill Sans MT" w:eastAsia="Gill Sans MT"/>
                                  <w:b w:val="1"/>
                                  <w:bCs w:val="1"/>
                                  <w:outline w:val="0"/>
                                  <w:color w:val="0d0d0d"/>
                                  <w:u w:color="0d0d0d"/>
                                  <w:rtl w:val="0"/>
                                  <w:lang w:val="fr-FR"/>
                                  <w14:textFill>
                                    <w14:solidFill>
                                      <w14:srgbClr w14:val="0D0D0D"/>
                                    </w14:solidFill>
                                  </w14:textFill>
                                </w:rPr>
                                <w:t>Aucune implantation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38.1pt;margin-top:7.1pt;width:170.2pt;height:60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2175,765810">
                <w10:wrap type="none" side="bothSides" anchorx="text"/>
                <v:shape id="_x0000_s1030" type="#_x0000_t13" style="position:absolute;left:0;top:0;width:2162175;height:765810;" adj="17775,5400">
                  <v:fill color="#93C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type="#_x0000_t202" style="position:absolute;left:0;top:191453;width:1970723;height:3829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Gill Sans MT" w:cs="Gill Sans MT" w:hAnsi="Gill Sans MT" w:eastAsia="Gill Sans MT"/>
                            <w:b w:val="1"/>
                            <w:bCs w:val="1"/>
                            <w:outline w:val="0"/>
                            <w:color w:val="0d0d0d"/>
                            <w:u w:color="0d0d0d"/>
                            <w:rtl w:val="0"/>
                            <w:lang w:val="fr-FR"/>
                            <w14:textFill>
                              <w14:solidFill>
                                <w14:srgbClr w14:val="0D0D0D"/>
                              </w14:solidFill>
                            </w14:textFill>
                          </w:rPr>
                          <w:t>Aucune implantation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4524499</wp:posOffset>
                </wp:positionH>
                <wp:positionV relativeFrom="line">
                  <wp:posOffset>280175</wp:posOffset>
                </wp:positionV>
                <wp:extent cx="2314575" cy="381000"/>
                <wp:effectExtent l="0" t="0" r="0" b="0"/>
                <wp:wrapNone/>
                <wp:docPr id="1073741831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8100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56.3pt;margin-top:22.1pt;width:182.2pt;height:3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7DEE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line">
                  <wp:posOffset>280670</wp:posOffset>
                </wp:positionV>
                <wp:extent cx="2314575" cy="381000"/>
                <wp:effectExtent l="0" t="0" r="0" b="0"/>
                <wp:wrapNone/>
                <wp:docPr id="1073741832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810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74.0pt;margin-top:22.1pt;width:182.2pt;height:3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BEEF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sectPr>
      <w:headerReference w:type="default" r:id="rId4"/>
      <w:footerReference w:type="default" r:id="rId5"/>
      <w:pgSz w:w="15840" w:h="2448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  <w:lang w:val="fr-FR"/>
      </w:rPr>
      <w:t>R</w:t>
    </w:r>
    <w:r>
      <w:rPr>
        <w:rtl w:val="0"/>
        <w:lang w:val="fr-FR"/>
      </w:rPr>
      <w:t>é</w:t>
    </w:r>
    <w:r>
      <w:rPr>
        <w:rtl w:val="0"/>
        <w:lang w:val="fr-FR"/>
      </w:rPr>
      <w:t xml:space="preserve">troaction suite </w:t>
    </w:r>
    <w:r>
      <w:rPr>
        <w:rtl w:val="0"/>
        <w:lang w:val="fr-FR"/>
      </w:rPr>
      <w:t xml:space="preserve">à </w:t>
    </w:r>
    <w:r>
      <w:rPr>
        <w:rtl w:val="0"/>
        <w:lang w:val="fr-FR"/>
      </w:rPr>
      <w:t>la rencontre virtuelle provinciale du CECR de juin 2016  (Traduction libre)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fr-FR"/>
      </w:rPr>
      <w:t>Le CEFR en Ontario: Un Continuum d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fr-FR"/>
      </w:rPr>
      <w:t>’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fr-FR"/>
      </w:rPr>
      <w:t>implantation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